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DDDDD" w14:textId="26D28889" w:rsidR="00331D39" w:rsidRDefault="005A054D" w:rsidP="00A13B5D">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 xml:space="preserve">In 2017, the Queensland Government launched the </w:t>
      </w:r>
      <w:r>
        <w:rPr>
          <w:rFonts w:ascii="Arial" w:hAnsi="Arial" w:cs="Arial"/>
          <w:bCs/>
          <w:i/>
          <w:iCs/>
          <w:spacing w:val="-3"/>
          <w:sz w:val="22"/>
          <w:szCs w:val="22"/>
        </w:rPr>
        <w:t>Queensland Housing Strategy 2017-2027</w:t>
      </w:r>
      <w:r>
        <w:rPr>
          <w:rFonts w:ascii="Arial" w:hAnsi="Arial" w:cs="Arial"/>
          <w:bCs/>
          <w:spacing w:val="-3"/>
          <w:sz w:val="22"/>
          <w:szCs w:val="22"/>
        </w:rPr>
        <w:t>, the state’s first housing strategy to address the entire housing continuum from homelessness services and social housing to affordable housing and private rental</w:t>
      </w:r>
      <w:r w:rsidR="000E4B77">
        <w:rPr>
          <w:rFonts w:ascii="Arial" w:hAnsi="Arial" w:cs="Arial"/>
          <w:bCs/>
          <w:spacing w:val="-3"/>
          <w:sz w:val="22"/>
          <w:szCs w:val="22"/>
        </w:rPr>
        <w:t>;</w:t>
      </w:r>
      <w:r w:rsidR="00972576">
        <w:rPr>
          <w:rFonts w:ascii="Arial" w:hAnsi="Arial" w:cs="Arial"/>
          <w:bCs/>
          <w:spacing w:val="-3"/>
          <w:sz w:val="22"/>
          <w:szCs w:val="22"/>
        </w:rPr>
        <w:t xml:space="preserve"> and</w:t>
      </w:r>
      <w:r>
        <w:rPr>
          <w:rFonts w:ascii="Arial" w:hAnsi="Arial" w:cs="Arial"/>
          <w:bCs/>
          <w:spacing w:val="-3"/>
          <w:sz w:val="22"/>
          <w:szCs w:val="22"/>
        </w:rPr>
        <w:t xml:space="preserve"> home ownership through to retirement living. Since 2017, much progress has been made towards achieving the vision of the Housing Strategy, however the landscape of housing in Queensland has also fundamentally changed and new challenges </w:t>
      </w:r>
      <w:r w:rsidR="0074254A">
        <w:rPr>
          <w:rFonts w:ascii="Arial" w:hAnsi="Arial" w:cs="Arial"/>
          <w:bCs/>
          <w:spacing w:val="-3"/>
          <w:sz w:val="22"/>
          <w:szCs w:val="22"/>
        </w:rPr>
        <w:t xml:space="preserve">and opportunities </w:t>
      </w:r>
      <w:r>
        <w:rPr>
          <w:rFonts w:ascii="Arial" w:hAnsi="Arial" w:cs="Arial"/>
          <w:bCs/>
          <w:spacing w:val="-3"/>
          <w:sz w:val="22"/>
          <w:szCs w:val="22"/>
        </w:rPr>
        <w:t>are presenting themselves.</w:t>
      </w:r>
    </w:p>
    <w:p w14:paraId="5E253E5A" w14:textId="77777777" w:rsidR="005A054D" w:rsidRPr="0074254A" w:rsidRDefault="005A054D" w:rsidP="00A13B5D">
      <w:pPr>
        <w:numPr>
          <w:ilvl w:val="0"/>
          <w:numId w:val="1"/>
        </w:numPr>
        <w:tabs>
          <w:tab w:val="clear" w:pos="720"/>
          <w:tab w:val="num" w:pos="360"/>
        </w:tabs>
        <w:spacing w:before="240"/>
        <w:ind w:left="357" w:hanging="357"/>
        <w:jc w:val="both"/>
        <w:rPr>
          <w:rFonts w:ascii="Arial" w:hAnsi="Arial" w:cs="Arial"/>
          <w:bCs/>
          <w:spacing w:val="-3"/>
          <w:sz w:val="22"/>
          <w:szCs w:val="22"/>
        </w:rPr>
      </w:pPr>
      <w:r w:rsidRPr="0074254A">
        <w:rPr>
          <w:rFonts w:ascii="Arial" w:hAnsi="Arial" w:cs="Arial"/>
          <w:bCs/>
          <w:spacing w:val="-3"/>
          <w:sz w:val="22"/>
          <w:szCs w:val="22"/>
        </w:rPr>
        <w:t>Housing affordability is a major state-wide issue, rental and home purchase prices are rising steeply, and more and more people on low and moderate incomes are seeking assistance. In recognition of the unprecedented pressures on the housing system in Queensland and the ongoing social and economic impacts of COVID-19, the Queensland Government is making a record investment in social and affordable housing and homelessness services</w:t>
      </w:r>
      <w:r w:rsidR="0074254A">
        <w:rPr>
          <w:rFonts w:ascii="Arial" w:hAnsi="Arial" w:cs="Arial"/>
          <w:bCs/>
          <w:spacing w:val="-3"/>
          <w:sz w:val="22"/>
          <w:szCs w:val="22"/>
        </w:rPr>
        <w:t>. This investment will be delivered</w:t>
      </w:r>
      <w:r w:rsidRPr="0074254A">
        <w:rPr>
          <w:rFonts w:ascii="Arial" w:hAnsi="Arial" w:cs="Arial"/>
          <w:bCs/>
          <w:spacing w:val="-3"/>
          <w:sz w:val="22"/>
          <w:szCs w:val="22"/>
        </w:rPr>
        <w:t xml:space="preserve"> through a new Action Plan 2021 – 2025.</w:t>
      </w:r>
    </w:p>
    <w:p w14:paraId="55D5DF15" w14:textId="77777777" w:rsidR="005A2DCB" w:rsidRDefault="005A054D" w:rsidP="00A13B5D">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Under the</w:t>
      </w:r>
      <w:r w:rsidR="005A2DCB">
        <w:rPr>
          <w:rFonts w:ascii="Arial" w:hAnsi="Arial" w:cs="Arial"/>
          <w:bCs/>
          <w:spacing w:val="-3"/>
          <w:sz w:val="22"/>
          <w:szCs w:val="22"/>
        </w:rPr>
        <w:t xml:space="preserve"> new</w:t>
      </w:r>
      <w:r>
        <w:rPr>
          <w:rFonts w:ascii="Arial" w:hAnsi="Arial" w:cs="Arial"/>
          <w:bCs/>
          <w:spacing w:val="-3"/>
          <w:sz w:val="22"/>
          <w:szCs w:val="22"/>
        </w:rPr>
        <w:t xml:space="preserve"> </w:t>
      </w:r>
      <w:r w:rsidR="00290FB8">
        <w:rPr>
          <w:rFonts w:ascii="Arial" w:hAnsi="Arial" w:cs="Arial"/>
          <w:bCs/>
          <w:i/>
          <w:iCs/>
          <w:spacing w:val="-3"/>
          <w:sz w:val="22"/>
          <w:szCs w:val="22"/>
        </w:rPr>
        <w:t>Queensland Housing and Homelessness Action Plan 2021 – 2025</w:t>
      </w:r>
      <w:r>
        <w:rPr>
          <w:rFonts w:ascii="Arial" w:hAnsi="Arial" w:cs="Arial"/>
          <w:bCs/>
          <w:spacing w:val="-3"/>
          <w:sz w:val="22"/>
          <w:szCs w:val="22"/>
        </w:rPr>
        <w:t xml:space="preserve">, the Queensland Government </w:t>
      </w:r>
      <w:r w:rsidR="005A2DCB">
        <w:rPr>
          <w:rFonts w:ascii="Arial" w:hAnsi="Arial" w:cs="Arial"/>
          <w:bCs/>
          <w:spacing w:val="-3"/>
          <w:sz w:val="22"/>
          <w:szCs w:val="22"/>
        </w:rPr>
        <w:t>has established</w:t>
      </w:r>
      <w:r>
        <w:rPr>
          <w:rFonts w:ascii="Arial" w:hAnsi="Arial" w:cs="Arial"/>
          <w:bCs/>
          <w:spacing w:val="-3"/>
          <w:sz w:val="22"/>
          <w:szCs w:val="22"/>
        </w:rPr>
        <w:t xml:space="preserve"> </w:t>
      </w:r>
      <w:r w:rsidR="00E677EF">
        <w:rPr>
          <w:rFonts w:ascii="Arial" w:hAnsi="Arial" w:cs="Arial"/>
          <w:bCs/>
          <w:spacing w:val="-3"/>
          <w:sz w:val="22"/>
          <w:szCs w:val="22"/>
        </w:rPr>
        <w:t>the</w:t>
      </w:r>
      <w:r>
        <w:rPr>
          <w:rFonts w:ascii="Arial" w:hAnsi="Arial" w:cs="Arial"/>
          <w:bCs/>
          <w:spacing w:val="-3"/>
          <w:sz w:val="22"/>
          <w:szCs w:val="22"/>
        </w:rPr>
        <w:t xml:space="preserve"> </w:t>
      </w:r>
      <w:r w:rsidR="00E677EF">
        <w:rPr>
          <w:rFonts w:ascii="Arial" w:hAnsi="Arial" w:cs="Arial"/>
          <w:bCs/>
          <w:spacing w:val="-3"/>
          <w:sz w:val="22"/>
          <w:szCs w:val="22"/>
        </w:rPr>
        <w:t xml:space="preserve">Queensland </w:t>
      </w:r>
      <w:r>
        <w:rPr>
          <w:rFonts w:ascii="Arial" w:hAnsi="Arial" w:cs="Arial"/>
          <w:bCs/>
          <w:spacing w:val="-3"/>
          <w:sz w:val="22"/>
          <w:szCs w:val="22"/>
        </w:rPr>
        <w:t>Housing Investment Growth Initiative to boost supply</w:t>
      </w:r>
      <w:r w:rsidR="005A2DCB">
        <w:rPr>
          <w:rFonts w:ascii="Arial" w:hAnsi="Arial" w:cs="Arial"/>
          <w:bCs/>
          <w:spacing w:val="-3"/>
          <w:sz w:val="22"/>
          <w:szCs w:val="22"/>
        </w:rPr>
        <w:t>, backed by $1.</w:t>
      </w:r>
      <w:r w:rsidR="00E677EF">
        <w:rPr>
          <w:rFonts w:ascii="Arial" w:hAnsi="Arial" w:cs="Arial"/>
          <w:bCs/>
          <w:spacing w:val="-3"/>
          <w:sz w:val="22"/>
          <w:szCs w:val="22"/>
        </w:rPr>
        <w:t>8</w:t>
      </w:r>
      <w:r w:rsidR="005A2DCB">
        <w:rPr>
          <w:rFonts w:ascii="Arial" w:hAnsi="Arial" w:cs="Arial"/>
          <w:bCs/>
          <w:spacing w:val="-3"/>
          <w:sz w:val="22"/>
          <w:szCs w:val="22"/>
        </w:rPr>
        <w:t xml:space="preserve"> billion</w:t>
      </w:r>
      <w:r w:rsidR="00E677EF">
        <w:rPr>
          <w:rFonts w:ascii="Arial" w:hAnsi="Arial" w:cs="Arial"/>
          <w:bCs/>
          <w:spacing w:val="-3"/>
          <w:sz w:val="22"/>
          <w:szCs w:val="22"/>
        </w:rPr>
        <w:t xml:space="preserve"> investment</w:t>
      </w:r>
      <w:r w:rsidR="005A2DCB">
        <w:rPr>
          <w:rFonts w:ascii="Arial" w:hAnsi="Arial" w:cs="Arial"/>
          <w:bCs/>
          <w:spacing w:val="-3"/>
          <w:sz w:val="22"/>
          <w:szCs w:val="22"/>
        </w:rPr>
        <w:t xml:space="preserve"> and </w:t>
      </w:r>
      <w:r w:rsidR="00E677EF">
        <w:rPr>
          <w:rFonts w:ascii="Arial" w:hAnsi="Arial" w:cs="Arial"/>
          <w:bCs/>
          <w:spacing w:val="-3"/>
          <w:sz w:val="22"/>
          <w:szCs w:val="22"/>
        </w:rPr>
        <w:t>supported by the newly established</w:t>
      </w:r>
      <w:r w:rsidR="005A2DCB">
        <w:rPr>
          <w:rFonts w:ascii="Arial" w:hAnsi="Arial" w:cs="Arial"/>
          <w:bCs/>
          <w:spacing w:val="-3"/>
          <w:sz w:val="22"/>
          <w:szCs w:val="22"/>
        </w:rPr>
        <w:t xml:space="preserve"> $1 billion Housing Investment Fund</w:t>
      </w:r>
      <w:r>
        <w:rPr>
          <w:rFonts w:ascii="Arial" w:hAnsi="Arial" w:cs="Arial"/>
          <w:bCs/>
          <w:spacing w:val="-3"/>
          <w:sz w:val="22"/>
          <w:szCs w:val="22"/>
        </w:rPr>
        <w:t xml:space="preserve">. </w:t>
      </w:r>
    </w:p>
    <w:p w14:paraId="08DC010C" w14:textId="5CAB7037" w:rsidR="005A054D" w:rsidRDefault="005A054D" w:rsidP="00A13B5D">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 xml:space="preserve">The </w:t>
      </w:r>
      <w:r w:rsidR="00E677EF">
        <w:rPr>
          <w:rFonts w:ascii="Arial" w:hAnsi="Arial" w:cs="Arial"/>
          <w:bCs/>
          <w:spacing w:val="-3"/>
          <w:sz w:val="22"/>
          <w:szCs w:val="22"/>
        </w:rPr>
        <w:t xml:space="preserve">Queensland </w:t>
      </w:r>
      <w:r>
        <w:rPr>
          <w:rFonts w:ascii="Arial" w:hAnsi="Arial" w:cs="Arial"/>
          <w:bCs/>
          <w:spacing w:val="-3"/>
          <w:sz w:val="22"/>
          <w:szCs w:val="22"/>
        </w:rPr>
        <w:t xml:space="preserve">Housing Investment Growth Initiative offers a new approach to delivery of a state-wide capital program, seeking to attract participants from the social and affordable housing industries, private sector and local governments, alongside financing from the National </w:t>
      </w:r>
      <w:r w:rsidR="0074254A">
        <w:rPr>
          <w:rFonts w:ascii="Arial" w:hAnsi="Arial" w:cs="Arial"/>
          <w:bCs/>
          <w:spacing w:val="-3"/>
          <w:sz w:val="22"/>
          <w:szCs w:val="22"/>
        </w:rPr>
        <w:t>Housing Finance Investment Corporation (NHFIC) and other avenues.</w:t>
      </w:r>
      <w:r w:rsidR="005A2DCB">
        <w:rPr>
          <w:rFonts w:ascii="Arial" w:hAnsi="Arial" w:cs="Arial"/>
          <w:bCs/>
          <w:spacing w:val="-3"/>
          <w:sz w:val="22"/>
          <w:szCs w:val="22"/>
        </w:rPr>
        <w:t xml:space="preserve"> The </w:t>
      </w:r>
      <w:r w:rsidR="00E677EF">
        <w:rPr>
          <w:rFonts w:ascii="Arial" w:hAnsi="Arial" w:cs="Arial"/>
          <w:bCs/>
          <w:spacing w:val="-3"/>
          <w:sz w:val="22"/>
          <w:szCs w:val="22"/>
        </w:rPr>
        <w:t xml:space="preserve">Queensland </w:t>
      </w:r>
      <w:r w:rsidR="005A2DCB">
        <w:rPr>
          <w:rFonts w:ascii="Arial" w:hAnsi="Arial" w:cs="Arial"/>
          <w:bCs/>
          <w:spacing w:val="-3"/>
          <w:sz w:val="22"/>
          <w:szCs w:val="22"/>
        </w:rPr>
        <w:t xml:space="preserve">Housing Investment Growth Initiative will deliver the commencement of 6,365 new </w:t>
      </w:r>
      <w:r w:rsidR="00745509">
        <w:rPr>
          <w:rFonts w:ascii="Arial" w:hAnsi="Arial" w:cs="Arial"/>
          <w:bCs/>
          <w:spacing w:val="-3"/>
          <w:sz w:val="22"/>
          <w:szCs w:val="22"/>
        </w:rPr>
        <w:t xml:space="preserve">social </w:t>
      </w:r>
      <w:r w:rsidR="005A2DCB">
        <w:rPr>
          <w:rFonts w:ascii="Arial" w:hAnsi="Arial" w:cs="Arial"/>
          <w:bCs/>
          <w:spacing w:val="-3"/>
          <w:sz w:val="22"/>
          <w:szCs w:val="22"/>
        </w:rPr>
        <w:t>homes by 30 June 2025.</w:t>
      </w:r>
    </w:p>
    <w:p w14:paraId="7B20E9B8" w14:textId="77777777" w:rsidR="005A054D" w:rsidRDefault="0074254A" w:rsidP="00A13B5D">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The Action Plan 2021 – 2025 also prioritises continuing service delivery reforms and holistic responses for vulnerable Queenslanders through essential frontline services. It includes commitments to deliver coordination across government agencies, partnerships with the non-government sector to support priority cohorts – including women and children escaping domestic and family violence – and building the capacity of the sector to respond to emerging need.</w:t>
      </w:r>
    </w:p>
    <w:p w14:paraId="38B3392C" w14:textId="32588A19" w:rsidR="005A2DCB" w:rsidRPr="005A2DCB" w:rsidRDefault="005A2DCB" w:rsidP="00A13B5D">
      <w:pPr>
        <w:numPr>
          <w:ilvl w:val="0"/>
          <w:numId w:val="1"/>
        </w:numPr>
        <w:tabs>
          <w:tab w:val="clear" w:pos="720"/>
          <w:tab w:val="num" w:pos="360"/>
        </w:tabs>
        <w:spacing w:before="240"/>
        <w:ind w:left="357" w:hanging="357"/>
        <w:jc w:val="both"/>
        <w:rPr>
          <w:rFonts w:ascii="Arial" w:hAnsi="Arial" w:cs="Arial"/>
          <w:bCs/>
          <w:spacing w:val="-3"/>
          <w:sz w:val="22"/>
          <w:szCs w:val="22"/>
        </w:rPr>
      </w:pPr>
      <w:r w:rsidRPr="005A2DCB">
        <w:rPr>
          <w:rFonts w:ascii="Arial" w:hAnsi="Arial" w:cs="Arial"/>
          <w:bCs/>
          <w:spacing w:val="-3"/>
          <w:sz w:val="22"/>
          <w:szCs w:val="22"/>
        </w:rPr>
        <w:t>Under the Action Plan, the Queensland Government is committ</w:t>
      </w:r>
      <w:r w:rsidR="009907A4">
        <w:rPr>
          <w:rFonts w:ascii="Arial" w:hAnsi="Arial" w:cs="Arial"/>
          <w:bCs/>
          <w:spacing w:val="-3"/>
          <w:sz w:val="22"/>
          <w:szCs w:val="22"/>
        </w:rPr>
        <w:t>ed</w:t>
      </w:r>
      <w:r w:rsidRPr="005A2DCB">
        <w:rPr>
          <w:rFonts w:ascii="Arial" w:hAnsi="Arial" w:cs="Arial"/>
          <w:bCs/>
          <w:spacing w:val="-3"/>
          <w:sz w:val="22"/>
          <w:szCs w:val="22"/>
        </w:rPr>
        <w:t xml:space="preserve"> to support the housing and homelessness service system to deliver better outcomes for Queenslanders. This includes:</w:t>
      </w:r>
    </w:p>
    <w:p w14:paraId="4EA5143E" w14:textId="3FD21C91" w:rsidR="005A2DCB" w:rsidRPr="005A2DCB" w:rsidRDefault="005A2DCB" w:rsidP="00542138">
      <w:pPr>
        <w:numPr>
          <w:ilvl w:val="0"/>
          <w:numId w:val="4"/>
        </w:numPr>
        <w:spacing w:before="120"/>
        <w:ind w:left="714" w:hanging="357"/>
        <w:jc w:val="both"/>
        <w:rPr>
          <w:rFonts w:ascii="Arial" w:hAnsi="Arial" w:cs="Arial"/>
          <w:bCs/>
          <w:spacing w:val="-3"/>
          <w:sz w:val="22"/>
          <w:szCs w:val="22"/>
        </w:rPr>
      </w:pPr>
      <w:r w:rsidRPr="005A2DCB">
        <w:rPr>
          <w:rFonts w:ascii="Arial" w:hAnsi="Arial" w:cs="Arial"/>
          <w:bCs/>
          <w:spacing w:val="-3"/>
          <w:sz w:val="22"/>
          <w:szCs w:val="22"/>
        </w:rPr>
        <w:t>homelessness initiatives including headleases, private rental products, and crisis housing and supports</w:t>
      </w:r>
    </w:p>
    <w:p w14:paraId="2E065E66" w14:textId="17473209" w:rsidR="00F84D9F" w:rsidRDefault="005A2DCB" w:rsidP="00542138">
      <w:pPr>
        <w:numPr>
          <w:ilvl w:val="0"/>
          <w:numId w:val="4"/>
        </w:numPr>
        <w:spacing w:before="120"/>
        <w:ind w:left="714" w:hanging="357"/>
        <w:jc w:val="both"/>
        <w:rPr>
          <w:rFonts w:ascii="Arial" w:hAnsi="Arial" w:cs="Arial"/>
          <w:bCs/>
          <w:spacing w:val="-3"/>
          <w:sz w:val="22"/>
          <w:szCs w:val="22"/>
        </w:rPr>
      </w:pPr>
      <w:r w:rsidRPr="005A2DCB">
        <w:rPr>
          <w:rFonts w:ascii="Arial" w:hAnsi="Arial" w:cs="Arial"/>
          <w:bCs/>
          <w:spacing w:val="-3"/>
          <w:sz w:val="22"/>
          <w:szCs w:val="22"/>
        </w:rPr>
        <w:t>domestic and family violence housing assistance and support, including flexible assistance packages, specialist case coordination, and support for the statewide Specialist Response Team</w:t>
      </w:r>
    </w:p>
    <w:p w14:paraId="45603AA8" w14:textId="21572EE1" w:rsidR="005A2DCB" w:rsidRPr="00E677EF" w:rsidRDefault="005A2DCB" w:rsidP="00542138">
      <w:pPr>
        <w:numPr>
          <w:ilvl w:val="0"/>
          <w:numId w:val="4"/>
        </w:numPr>
        <w:spacing w:before="120"/>
        <w:ind w:left="714" w:hanging="357"/>
        <w:jc w:val="both"/>
        <w:rPr>
          <w:rFonts w:ascii="Arial" w:hAnsi="Arial" w:cs="Arial"/>
          <w:bCs/>
          <w:spacing w:val="-3"/>
          <w:sz w:val="22"/>
          <w:szCs w:val="22"/>
        </w:rPr>
      </w:pPr>
      <w:r w:rsidRPr="00F84D9F">
        <w:rPr>
          <w:rFonts w:ascii="Arial" w:hAnsi="Arial" w:cs="Arial"/>
          <w:bCs/>
          <w:spacing w:val="-3"/>
          <w:sz w:val="22"/>
          <w:szCs w:val="22"/>
        </w:rPr>
        <w:t>fund</w:t>
      </w:r>
      <w:r w:rsidR="0044091F">
        <w:rPr>
          <w:rFonts w:ascii="Arial" w:hAnsi="Arial" w:cs="Arial"/>
          <w:bCs/>
          <w:spacing w:val="-3"/>
          <w:sz w:val="22"/>
          <w:szCs w:val="22"/>
        </w:rPr>
        <w:t>ing</w:t>
      </w:r>
      <w:r w:rsidRPr="00F84D9F">
        <w:rPr>
          <w:rFonts w:ascii="Arial" w:hAnsi="Arial" w:cs="Arial"/>
          <w:bCs/>
          <w:spacing w:val="-3"/>
          <w:sz w:val="22"/>
          <w:szCs w:val="22"/>
        </w:rPr>
        <w:t xml:space="preserve"> essential housing and homelessness services launched through the first Housing Action Plan 2017-2020, for example funding provided to specialist </w:t>
      </w:r>
      <w:r w:rsidRPr="00E677EF">
        <w:rPr>
          <w:rFonts w:ascii="Arial" w:hAnsi="Arial" w:cs="Arial"/>
          <w:bCs/>
          <w:spacing w:val="-3"/>
          <w:sz w:val="22"/>
          <w:szCs w:val="22"/>
        </w:rPr>
        <w:t xml:space="preserve">homelessness service providers.  </w:t>
      </w:r>
    </w:p>
    <w:p w14:paraId="17B72370" w14:textId="77777777" w:rsidR="0074254A" w:rsidRDefault="00845CD2" w:rsidP="00A13B5D">
      <w:pPr>
        <w:numPr>
          <w:ilvl w:val="0"/>
          <w:numId w:val="1"/>
        </w:numPr>
        <w:tabs>
          <w:tab w:val="clear" w:pos="720"/>
          <w:tab w:val="num" w:pos="360"/>
        </w:tabs>
        <w:spacing w:before="240"/>
        <w:ind w:left="357" w:hanging="357"/>
        <w:jc w:val="both"/>
        <w:rPr>
          <w:rFonts w:ascii="Arial" w:hAnsi="Arial" w:cs="Arial"/>
          <w:bCs/>
          <w:spacing w:val="-3"/>
          <w:sz w:val="22"/>
          <w:szCs w:val="22"/>
        </w:rPr>
      </w:pPr>
      <w:r w:rsidRPr="00845CD2">
        <w:rPr>
          <w:rFonts w:ascii="Arial" w:hAnsi="Arial" w:cs="Arial"/>
          <w:bCs/>
          <w:spacing w:val="-3"/>
          <w:sz w:val="22"/>
          <w:szCs w:val="22"/>
          <w:u w:val="single"/>
        </w:rPr>
        <w:t>Cabinet</w:t>
      </w:r>
      <w:r w:rsidR="0074254A" w:rsidRPr="00845CD2">
        <w:rPr>
          <w:rFonts w:ascii="Arial" w:hAnsi="Arial" w:cs="Arial"/>
          <w:bCs/>
          <w:spacing w:val="-3"/>
          <w:sz w:val="22"/>
          <w:szCs w:val="22"/>
          <w:u w:val="single"/>
        </w:rPr>
        <w:t xml:space="preserve"> approved</w:t>
      </w:r>
      <w:r w:rsidR="0074254A">
        <w:rPr>
          <w:rFonts w:ascii="Arial" w:hAnsi="Arial" w:cs="Arial"/>
          <w:bCs/>
          <w:spacing w:val="-3"/>
          <w:sz w:val="22"/>
          <w:szCs w:val="22"/>
        </w:rPr>
        <w:t xml:space="preserve"> the </w:t>
      </w:r>
      <w:r w:rsidR="0074254A">
        <w:rPr>
          <w:rFonts w:ascii="Arial" w:hAnsi="Arial" w:cs="Arial"/>
          <w:bCs/>
          <w:i/>
          <w:iCs/>
          <w:spacing w:val="-3"/>
          <w:sz w:val="22"/>
          <w:szCs w:val="22"/>
        </w:rPr>
        <w:t>Queensland Housing and Homelessness Action Plan 2021 – 2025</w:t>
      </w:r>
      <w:r w:rsidR="0074254A">
        <w:rPr>
          <w:rFonts w:ascii="Arial" w:hAnsi="Arial" w:cs="Arial"/>
          <w:bCs/>
          <w:spacing w:val="-3"/>
          <w:sz w:val="22"/>
          <w:szCs w:val="22"/>
        </w:rPr>
        <w:t xml:space="preserve">, </w:t>
      </w:r>
      <w:r w:rsidR="00492CE9">
        <w:rPr>
          <w:rFonts w:ascii="Arial" w:hAnsi="Arial" w:cs="Arial"/>
          <w:bCs/>
          <w:spacing w:val="-3"/>
          <w:sz w:val="22"/>
          <w:szCs w:val="22"/>
        </w:rPr>
        <w:t>and its public release</w:t>
      </w:r>
      <w:r w:rsidR="0074254A">
        <w:rPr>
          <w:rFonts w:ascii="Arial" w:hAnsi="Arial" w:cs="Arial"/>
          <w:bCs/>
          <w:spacing w:val="-3"/>
          <w:sz w:val="22"/>
          <w:szCs w:val="22"/>
        </w:rPr>
        <w:t>.</w:t>
      </w:r>
    </w:p>
    <w:p w14:paraId="67D74272" w14:textId="77777777" w:rsidR="00845CD2" w:rsidRPr="00845CD2" w:rsidRDefault="0074254A" w:rsidP="00A13B5D">
      <w:pPr>
        <w:numPr>
          <w:ilvl w:val="0"/>
          <w:numId w:val="1"/>
        </w:numPr>
        <w:tabs>
          <w:tab w:val="clear" w:pos="720"/>
          <w:tab w:val="num" w:pos="360"/>
        </w:tabs>
        <w:spacing w:before="360"/>
        <w:ind w:left="357" w:hanging="357"/>
        <w:jc w:val="both"/>
        <w:rPr>
          <w:rFonts w:ascii="Arial" w:hAnsi="Arial" w:cs="Arial"/>
          <w:bCs/>
          <w:spacing w:val="-3"/>
          <w:sz w:val="22"/>
          <w:szCs w:val="22"/>
          <w:u w:val="single"/>
        </w:rPr>
      </w:pPr>
      <w:r w:rsidRPr="00845CD2">
        <w:rPr>
          <w:rFonts w:ascii="Arial" w:hAnsi="Arial" w:cs="Arial"/>
          <w:bCs/>
          <w:i/>
          <w:iCs/>
          <w:spacing w:val="-3"/>
          <w:sz w:val="22"/>
          <w:szCs w:val="22"/>
          <w:u w:val="single"/>
        </w:rPr>
        <w:t>Attachments</w:t>
      </w:r>
    </w:p>
    <w:p w14:paraId="481D098C" w14:textId="2052308C" w:rsidR="00732E22" w:rsidRPr="00845CD2" w:rsidRDefault="00F70D32" w:rsidP="00845CD2">
      <w:pPr>
        <w:numPr>
          <w:ilvl w:val="0"/>
          <w:numId w:val="3"/>
        </w:numPr>
        <w:spacing w:before="120"/>
        <w:jc w:val="both"/>
        <w:rPr>
          <w:rFonts w:ascii="Arial" w:hAnsi="Arial" w:cs="Arial"/>
          <w:sz w:val="22"/>
          <w:szCs w:val="22"/>
        </w:rPr>
      </w:pPr>
      <w:hyperlink r:id="rId10" w:history="1">
        <w:r w:rsidR="00D75B10" w:rsidRPr="00E871FF">
          <w:rPr>
            <w:rStyle w:val="Hyperlink"/>
            <w:rFonts w:ascii="Arial" w:hAnsi="Arial" w:cs="Arial"/>
            <w:sz w:val="22"/>
            <w:szCs w:val="22"/>
          </w:rPr>
          <w:t>Queensland Housing and Homelessness Action Plan 2021-2025</w:t>
        </w:r>
      </w:hyperlink>
    </w:p>
    <w:sectPr w:rsidR="00732E22" w:rsidRPr="00845CD2" w:rsidSect="00795495">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FFAD" w14:textId="77777777" w:rsidR="00116585" w:rsidRDefault="00116585" w:rsidP="00D6589B">
      <w:r>
        <w:separator/>
      </w:r>
    </w:p>
  </w:endnote>
  <w:endnote w:type="continuationSeparator" w:id="0">
    <w:p w14:paraId="735325EC" w14:textId="77777777" w:rsidR="00116585" w:rsidRDefault="00116585"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E1C2" w14:textId="77777777" w:rsidR="00116585" w:rsidRDefault="00116585" w:rsidP="00D6589B">
      <w:r>
        <w:separator/>
      </w:r>
    </w:p>
  </w:footnote>
  <w:footnote w:type="continuationSeparator" w:id="0">
    <w:p w14:paraId="6FE43D20" w14:textId="77777777" w:rsidR="00116585" w:rsidRDefault="00116585"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1251"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56F28325"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09DF47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845CD2">
      <w:rPr>
        <w:rFonts w:ascii="Arial" w:hAnsi="Arial" w:cs="Arial"/>
        <w:b/>
        <w:color w:val="auto"/>
        <w:sz w:val="22"/>
        <w:szCs w:val="22"/>
        <w:lang w:eastAsia="en-US"/>
      </w:rPr>
      <w:t>June 2021</w:t>
    </w:r>
  </w:p>
  <w:p w14:paraId="36B93547" w14:textId="3F591D52" w:rsidR="00CB1501" w:rsidRDefault="00331D39" w:rsidP="00D6589B">
    <w:pPr>
      <w:pStyle w:val="Header"/>
      <w:spacing w:before="120"/>
      <w:rPr>
        <w:rFonts w:ascii="Arial" w:hAnsi="Arial" w:cs="Arial"/>
        <w:b/>
        <w:sz w:val="22"/>
        <w:szCs w:val="22"/>
        <w:u w:val="single"/>
      </w:rPr>
    </w:pPr>
    <w:r>
      <w:rPr>
        <w:rFonts w:ascii="Arial" w:hAnsi="Arial" w:cs="Arial"/>
        <w:b/>
        <w:sz w:val="22"/>
        <w:szCs w:val="22"/>
        <w:u w:val="single"/>
      </w:rPr>
      <w:t xml:space="preserve">Queensland Housing </w:t>
    </w:r>
    <w:r w:rsidR="007C1573">
      <w:rPr>
        <w:rFonts w:ascii="Arial" w:hAnsi="Arial" w:cs="Arial"/>
        <w:b/>
        <w:sz w:val="22"/>
        <w:szCs w:val="22"/>
        <w:u w:val="single"/>
      </w:rPr>
      <w:t xml:space="preserve">and Homelessness </w:t>
    </w:r>
    <w:r>
      <w:rPr>
        <w:rFonts w:ascii="Arial" w:hAnsi="Arial" w:cs="Arial"/>
        <w:b/>
        <w:sz w:val="22"/>
        <w:szCs w:val="22"/>
        <w:u w:val="single"/>
      </w:rPr>
      <w:t>Action Plan 2021-2025</w:t>
    </w:r>
    <w:r w:rsidR="0006562C">
      <w:rPr>
        <w:rFonts w:ascii="Arial" w:hAnsi="Arial" w:cs="Arial"/>
        <w:b/>
        <w:sz w:val="22"/>
        <w:szCs w:val="22"/>
        <w:u w:val="single"/>
      </w:rPr>
      <w:t xml:space="preserve"> </w:t>
    </w:r>
  </w:p>
  <w:p w14:paraId="7A3DC4C6" w14:textId="77777777"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331D39">
      <w:rPr>
        <w:rFonts w:ascii="Arial" w:hAnsi="Arial" w:cs="Arial"/>
        <w:b/>
        <w:sz w:val="22"/>
        <w:szCs w:val="22"/>
        <w:u w:val="single"/>
      </w:rPr>
      <w:t xml:space="preserve"> for Communities and Housing, Minister for Digital Economy and Minister for the Arts</w:t>
    </w:r>
  </w:p>
  <w:p w14:paraId="2EB2D3EC"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72F57"/>
    <w:multiLevelType w:val="hybridMultilevel"/>
    <w:tmpl w:val="C25A9CC6"/>
    <w:lvl w:ilvl="0" w:tplc="0C090017">
      <w:start w:val="1"/>
      <w:numFmt w:val="lowerLetter"/>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95C0AC5"/>
    <w:multiLevelType w:val="hybridMultilevel"/>
    <w:tmpl w:val="CF90674A"/>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6562C"/>
    <w:rsid w:val="00080F8F"/>
    <w:rsid w:val="000D257E"/>
    <w:rsid w:val="000E2761"/>
    <w:rsid w:val="000E4B77"/>
    <w:rsid w:val="0010384C"/>
    <w:rsid w:val="00116585"/>
    <w:rsid w:val="00122A89"/>
    <w:rsid w:val="00174117"/>
    <w:rsid w:val="00190C16"/>
    <w:rsid w:val="00290FB8"/>
    <w:rsid w:val="00325978"/>
    <w:rsid w:val="00331D39"/>
    <w:rsid w:val="003715FC"/>
    <w:rsid w:val="003A3BDD"/>
    <w:rsid w:val="0044091F"/>
    <w:rsid w:val="00480A7C"/>
    <w:rsid w:val="00492CE9"/>
    <w:rsid w:val="004B1494"/>
    <w:rsid w:val="00501C66"/>
    <w:rsid w:val="00542138"/>
    <w:rsid w:val="00550873"/>
    <w:rsid w:val="00564BF0"/>
    <w:rsid w:val="005A054D"/>
    <w:rsid w:val="005A2DCB"/>
    <w:rsid w:val="005B255E"/>
    <w:rsid w:val="005F0177"/>
    <w:rsid w:val="00621C8C"/>
    <w:rsid w:val="00686CCB"/>
    <w:rsid w:val="007265D0"/>
    <w:rsid w:val="00732E22"/>
    <w:rsid w:val="00741C20"/>
    <w:rsid w:val="0074254A"/>
    <w:rsid w:val="00745509"/>
    <w:rsid w:val="007477E1"/>
    <w:rsid w:val="00795495"/>
    <w:rsid w:val="007C1573"/>
    <w:rsid w:val="007F44F4"/>
    <w:rsid w:val="00845CD2"/>
    <w:rsid w:val="00893666"/>
    <w:rsid w:val="00904077"/>
    <w:rsid w:val="00937A4A"/>
    <w:rsid w:val="00972576"/>
    <w:rsid w:val="009907A4"/>
    <w:rsid w:val="00A13B5D"/>
    <w:rsid w:val="00A14676"/>
    <w:rsid w:val="00AA4DE7"/>
    <w:rsid w:val="00AE1672"/>
    <w:rsid w:val="00BB123A"/>
    <w:rsid w:val="00C75E67"/>
    <w:rsid w:val="00C846E4"/>
    <w:rsid w:val="00CB1501"/>
    <w:rsid w:val="00CD7A50"/>
    <w:rsid w:val="00CF0D8A"/>
    <w:rsid w:val="00D6589B"/>
    <w:rsid w:val="00D75B10"/>
    <w:rsid w:val="00E645ED"/>
    <w:rsid w:val="00E677EF"/>
    <w:rsid w:val="00E871FF"/>
    <w:rsid w:val="00F245B4"/>
    <w:rsid w:val="00F453E7"/>
    <w:rsid w:val="00F45B99"/>
    <w:rsid w:val="00F70D32"/>
    <w:rsid w:val="00F77CE0"/>
    <w:rsid w:val="00F84A74"/>
    <w:rsid w:val="00F8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D7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CommentReference">
    <w:name w:val="annotation reference"/>
    <w:uiPriority w:val="99"/>
    <w:semiHidden/>
    <w:unhideWhenUsed/>
    <w:rsid w:val="00190C16"/>
    <w:rPr>
      <w:sz w:val="16"/>
      <w:szCs w:val="16"/>
    </w:rPr>
  </w:style>
  <w:style w:type="paragraph" w:styleId="CommentText">
    <w:name w:val="annotation text"/>
    <w:basedOn w:val="Normal"/>
    <w:link w:val="CommentTextChar"/>
    <w:uiPriority w:val="99"/>
    <w:semiHidden/>
    <w:unhideWhenUsed/>
    <w:rsid w:val="00190C16"/>
    <w:rPr>
      <w:sz w:val="20"/>
    </w:rPr>
  </w:style>
  <w:style w:type="character" w:customStyle="1" w:styleId="CommentTextChar">
    <w:name w:val="Comment Text Char"/>
    <w:link w:val="CommentText"/>
    <w:uiPriority w:val="99"/>
    <w:semiHidden/>
    <w:rsid w:val="00190C16"/>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190C16"/>
    <w:rPr>
      <w:b/>
      <w:bCs/>
    </w:rPr>
  </w:style>
  <w:style w:type="character" w:customStyle="1" w:styleId="CommentSubjectChar">
    <w:name w:val="Comment Subject Char"/>
    <w:link w:val="CommentSubject"/>
    <w:uiPriority w:val="99"/>
    <w:semiHidden/>
    <w:rsid w:val="00190C16"/>
    <w:rPr>
      <w:rFonts w:ascii="Times New Roman" w:eastAsia="Times New Roman" w:hAnsi="Times New Roman"/>
      <w:b/>
      <w:bCs/>
      <w:color w:val="000000"/>
    </w:rPr>
  </w:style>
  <w:style w:type="character" w:styleId="Hyperlink">
    <w:name w:val="Hyperlink"/>
    <w:uiPriority w:val="99"/>
    <w:unhideWhenUsed/>
    <w:rsid w:val="00D75B10"/>
    <w:rPr>
      <w:color w:val="0000FF"/>
      <w:u w:val="single"/>
    </w:rPr>
  </w:style>
  <w:style w:type="character" w:styleId="FollowedHyperlink">
    <w:name w:val="FollowedHyperlink"/>
    <w:uiPriority w:val="99"/>
    <w:semiHidden/>
    <w:unhideWhenUsed/>
    <w:rsid w:val="00A14676"/>
    <w:rPr>
      <w:color w:val="954F72"/>
      <w:u w:val="single"/>
    </w:rPr>
  </w:style>
  <w:style w:type="character" w:styleId="UnresolvedMention">
    <w:name w:val="Unresolved Mention"/>
    <w:basedOn w:val="DefaultParagraphFont"/>
    <w:uiPriority w:val="99"/>
    <w:semiHidden/>
    <w:unhideWhenUsed/>
    <w:rsid w:val="00E87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ActionPlan.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668F6-8ED8-4875-9D2B-D980CF610C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78C765-4594-4F35-BC63-B52B38E59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3AFB8-895A-4208-A81E-EA1467DFD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Proactive Release Summary.dot</Template>
  <TotalTime>32</TotalTime>
  <Pages>1</Pages>
  <Words>435</Words>
  <Characters>2688</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3121</CharactersWithSpaces>
  <SharedDoc>false</SharedDoc>
  <HyperlinkBase>https://www.cabinet.qld.gov.au/documents/2021/Jun/Housing and Homelessness Action plan/</HyperlinkBase>
  <HLinks>
    <vt:vector size="6" baseType="variant">
      <vt:variant>
        <vt:i4>4194400</vt:i4>
      </vt:variant>
      <vt:variant>
        <vt:i4>0</vt:i4>
      </vt:variant>
      <vt:variant>
        <vt:i4>0</vt:i4>
      </vt:variant>
      <vt:variant>
        <vt:i4>5</vt:i4>
      </vt:variant>
      <vt:variant>
        <vt:lpwstr>https://www.chde.qld.gov.au/__data/assets/pdf_file/0023/17429/QldHousingStrategyActionPlan2021-25.pdf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2021-08-22T23:44:00Z</dcterms:created>
  <dcterms:modified xsi:type="dcterms:W3CDTF">2021-11-03T06:35:00Z</dcterms:modified>
  <cp:category>Housing,COVID-19,Investment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